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D9943" w14:textId="3F7BD88A" w:rsidR="00A80CE3" w:rsidRDefault="007005F0" w:rsidP="000537BA">
      <w:pPr>
        <w:spacing w:after="0" w:line="259" w:lineRule="auto"/>
        <w:ind w:left="0" w:right="7" w:firstLine="0"/>
        <w:jc w:val="center"/>
      </w:pPr>
      <w:r>
        <w:rPr>
          <w:b/>
          <w:color w:val="548DD4"/>
          <w:sz w:val="24"/>
        </w:rPr>
        <w:t>Aimee Fahey</w:t>
      </w:r>
    </w:p>
    <w:p w14:paraId="1D6D9B33" w14:textId="768FB8BB" w:rsidR="00A80CE3" w:rsidRDefault="007005F0" w:rsidP="000537BA">
      <w:pPr>
        <w:tabs>
          <w:tab w:val="center" w:pos="2160"/>
          <w:tab w:val="center" w:pos="2880"/>
          <w:tab w:val="center" w:pos="3601"/>
          <w:tab w:val="center" w:pos="4321"/>
          <w:tab w:val="center" w:pos="5041"/>
          <w:tab w:val="center" w:pos="7402"/>
        </w:tabs>
        <w:spacing w:after="0"/>
        <w:ind w:left="0" w:firstLine="0"/>
        <w:jc w:val="center"/>
      </w:pPr>
      <w:r>
        <w:t>E-mail:  aimee32fahey@comcast.net</w:t>
      </w:r>
    </w:p>
    <w:p w14:paraId="10E7B0BF" w14:textId="0B10C515" w:rsidR="00A80CE3" w:rsidRDefault="007005F0" w:rsidP="000537BA">
      <w:pPr>
        <w:tabs>
          <w:tab w:val="center" w:pos="2880"/>
          <w:tab w:val="center" w:pos="3601"/>
          <w:tab w:val="center" w:pos="4321"/>
          <w:tab w:val="center" w:pos="5041"/>
          <w:tab w:val="center" w:pos="6751"/>
        </w:tabs>
        <w:ind w:left="0" w:firstLine="0"/>
        <w:jc w:val="center"/>
      </w:pPr>
      <w:r>
        <w:t>Phone: 603-965-6282</w:t>
      </w:r>
    </w:p>
    <w:p w14:paraId="2374523A" w14:textId="77777777" w:rsidR="00A80CE3" w:rsidRDefault="007005F0">
      <w:pPr>
        <w:spacing w:after="205"/>
        <w:ind w:left="0" w:right="3" w:firstLine="0"/>
      </w:pPr>
      <w:r>
        <w:t xml:space="preserve">__________________________________________________________________________________________________ </w:t>
      </w:r>
    </w:p>
    <w:p w14:paraId="70E20495" w14:textId="77777777" w:rsidR="007C4C0A" w:rsidRPr="00C855DC" w:rsidRDefault="007C4C0A" w:rsidP="007C4C0A">
      <w:pPr>
        <w:pStyle w:val="Heading1"/>
        <w:jc w:val="center"/>
        <w:rPr>
          <w:color w:val="4C94D8" w:themeColor="text2" w:themeTint="80"/>
          <w:u w:val="single"/>
        </w:rPr>
      </w:pPr>
      <w:r w:rsidRPr="00C855DC">
        <w:rPr>
          <w:color w:val="4C94D8" w:themeColor="text2" w:themeTint="80"/>
          <w:spacing w:val="-2"/>
          <w:u w:val="single"/>
        </w:rPr>
        <w:t>SUMMARY</w:t>
      </w:r>
    </w:p>
    <w:p w14:paraId="29D6C3D6" w14:textId="3AC7A995" w:rsidR="007C4C0A" w:rsidRPr="00C855DC" w:rsidRDefault="007C4C0A" w:rsidP="007C4C0A">
      <w:pPr>
        <w:pStyle w:val="BodyText"/>
        <w:spacing w:before="130" w:line="290" w:lineRule="auto"/>
        <w:ind w:left="339" w:right="376"/>
        <w:rPr>
          <w:rFonts w:ascii="Calibri" w:hAnsi="Calibri" w:cs="Calibri"/>
        </w:rPr>
      </w:pPr>
      <w:r w:rsidRPr="00C855D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2F23BE63" wp14:editId="094BA70C">
                <wp:simplePos x="0" y="0"/>
                <wp:positionH relativeFrom="page">
                  <wp:posOffset>4038600</wp:posOffset>
                </wp:positionH>
                <wp:positionV relativeFrom="paragraph">
                  <wp:posOffset>2354688</wp:posOffset>
                </wp:positionV>
                <wp:extent cx="38100" cy="381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7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2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4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F19FD6" id="Graphic 2" o:spid="_x0000_s1026" style="position:absolute;margin-left:318pt;margin-top:185.4pt;width:3pt;height:3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" path="m21574,38100r-5049,l14097,37614,,21574,,16525,16525,r5049,l38100,16525r,2525l38100,21574,24002,37614r-2428,486xe" fillcolor="#494b4e" stroked="f">
                <v:path arrowok="t"/>
                <w10:wrap anchorx="page"/>
              </v:shape>
            </w:pict>
          </mc:Fallback>
        </mc:AlternateContent>
      </w:r>
      <w:r w:rsidRPr="00C855DC">
        <w:rPr>
          <w:rFonts w:ascii="Calibri" w:hAnsi="Calibri" w:cs="Calibri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6542AFC" wp14:editId="5601E528">
                <wp:simplePos x="0" y="0"/>
                <wp:positionH relativeFrom="page">
                  <wp:posOffset>4038600</wp:posOffset>
                </wp:positionH>
                <wp:positionV relativeFrom="paragraph">
                  <wp:posOffset>2554713</wp:posOffset>
                </wp:positionV>
                <wp:extent cx="38100" cy="3810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7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2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94B4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1DC13" id="Graphic 3" o:spid="_x0000_s1026" style="position:absolute;margin-left:318pt;margin-top:201.15pt;width:3pt;height:3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" path="m21574,38100r-5049,l14097,37614,,21574,,16525,16525,r5049,l38100,16525r,2525l38100,21574,24002,37614r-2428,486xe" fillcolor="#494b4e" stroked="f">
                <v:path arrowok="t"/>
                <w10:wrap anchorx="page"/>
              </v:shape>
            </w:pict>
          </mc:Fallback>
        </mc:AlternateContent>
      </w:r>
      <w:r w:rsidRPr="00C855DC">
        <w:rPr>
          <w:rFonts w:ascii="Calibri" w:hAnsi="Calibri" w:cs="Calibri"/>
          <w:color w:val="494B4E"/>
        </w:rPr>
        <w:t>Dynamic and globally experienced Human Resources Leader with over 20 years of leading enterprise-scale people operations, workforce transformation, and organizational development across multinational technology, SaaS, and engineering environments. Proven success directing HR strategy for over 1,600 employees across the U.S., Canada,</w:t>
      </w:r>
      <w:r w:rsidRPr="00C855DC">
        <w:rPr>
          <w:rFonts w:ascii="Calibri" w:hAnsi="Calibri" w:cs="Calibri"/>
          <w:color w:val="494B4E"/>
          <w:spacing w:val="40"/>
        </w:rPr>
        <w:t xml:space="preserve"> </w:t>
      </w:r>
      <w:r w:rsidRPr="00C855DC">
        <w:rPr>
          <w:rFonts w:ascii="Calibri" w:hAnsi="Calibri" w:cs="Calibri"/>
          <w:color w:val="494B4E"/>
        </w:rPr>
        <w:t>U.K., India, and France, while partnering closely with executive leadership and board-level stakeholders. Expert in global HR operations, HRIS modernization, M&amp;A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due diligence, cultural integration, leadership development, and workforce planning, aligned to large-scale growth agendas. Recognized for building high-performing HR teams, shaping inclusive people strategies, and driving measurable improvements in retention, capability development, and global operational consistency.</w:t>
      </w:r>
      <w:r w:rsidRPr="00C855DC">
        <w:rPr>
          <w:rFonts w:ascii="Calibri" w:hAnsi="Calibri" w:cs="Calibri"/>
          <w:color w:val="494B4E"/>
          <w:spacing w:val="-14"/>
        </w:rPr>
        <w:t xml:space="preserve"> </w:t>
      </w:r>
      <w:r w:rsidRPr="00C855DC">
        <w:rPr>
          <w:rFonts w:ascii="Calibri" w:hAnsi="Calibri" w:cs="Calibri"/>
          <w:color w:val="494B4E"/>
        </w:rPr>
        <w:t>Adept</w:t>
      </w:r>
      <w:r w:rsidRPr="00C855DC">
        <w:rPr>
          <w:rFonts w:ascii="Calibri" w:hAnsi="Calibri" w:cs="Calibri"/>
          <w:color w:val="494B4E"/>
          <w:spacing w:val="-7"/>
        </w:rPr>
        <w:t xml:space="preserve"> </w:t>
      </w:r>
      <w:r w:rsidRPr="00C855DC">
        <w:rPr>
          <w:rFonts w:ascii="Calibri" w:hAnsi="Calibri" w:cs="Calibri"/>
          <w:color w:val="494B4E"/>
        </w:rPr>
        <w:t>at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navigating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complex,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matrixed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organizations,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and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advancing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enterprise-wide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transformation</w:t>
      </w:r>
      <w:r w:rsidRPr="00C855DC">
        <w:rPr>
          <w:rFonts w:ascii="Calibri" w:hAnsi="Calibri" w:cs="Calibri"/>
          <w:color w:val="494B4E"/>
          <w:spacing w:val="-6"/>
        </w:rPr>
        <w:t xml:space="preserve"> </w:t>
      </w:r>
      <w:r w:rsidRPr="00C855DC">
        <w:rPr>
          <w:rFonts w:ascii="Calibri" w:hAnsi="Calibri" w:cs="Calibri"/>
          <w:color w:val="494B4E"/>
        </w:rPr>
        <w:t>initiatives that elevate employee experience and organizational readiness.</w:t>
      </w:r>
    </w:p>
    <w:p w14:paraId="6DFC5287" w14:textId="77777777" w:rsidR="007C4C0A" w:rsidRDefault="007C4C0A">
      <w:pPr>
        <w:spacing w:after="0" w:line="259" w:lineRule="auto"/>
        <w:ind w:left="10" w:right="11" w:hanging="10"/>
        <w:jc w:val="center"/>
        <w:rPr>
          <w:b/>
          <w:color w:val="548DD4"/>
          <w:sz w:val="24"/>
          <w:u w:val="single" w:color="548DD4"/>
        </w:rPr>
      </w:pPr>
    </w:p>
    <w:p w14:paraId="40832F72" w14:textId="5B278462" w:rsidR="00A80CE3" w:rsidRDefault="007C4C0A">
      <w:pPr>
        <w:spacing w:after="0" w:line="259" w:lineRule="auto"/>
        <w:ind w:left="10" w:right="11" w:hanging="10"/>
        <w:jc w:val="center"/>
        <w:rPr>
          <w:b/>
          <w:color w:val="548DD4"/>
          <w:szCs w:val="22"/>
        </w:rPr>
      </w:pPr>
      <w:r w:rsidRPr="00C855DC">
        <w:rPr>
          <w:b/>
          <w:color w:val="548DD4"/>
          <w:szCs w:val="22"/>
          <w:u w:val="single" w:color="548DD4"/>
        </w:rPr>
        <w:t>C</w:t>
      </w:r>
      <w:r w:rsidR="007005F0" w:rsidRPr="00C855DC">
        <w:rPr>
          <w:b/>
          <w:color w:val="548DD4"/>
          <w:szCs w:val="22"/>
          <w:u w:val="single" w:color="548DD4"/>
        </w:rPr>
        <w:t>areer Highlights Include:</w:t>
      </w:r>
      <w:r w:rsidR="007005F0" w:rsidRPr="00C855DC">
        <w:rPr>
          <w:b/>
          <w:color w:val="548DD4"/>
          <w:szCs w:val="22"/>
        </w:rPr>
        <w:t xml:space="preserve"> </w:t>
      </w:r>
    </w:p>
    <w:p w14:paraId="7EB48981" w14:textId="77777777" w:rsidR="00D20C09" w:rsidRPr="00C855DC" w:rsidRDefault="00D20C09">
      <w:pPr>
        <w:spacing w:after="0" w:line="259" w:lineRule="auto"/>
        <w:ind w:left="10" w:right="11" w:hanging="10"/>
        <w:jc w:val="center"/>
        <w:rPr>
          <w:szCs w:val="22"/>
        </w:rPr>
      </w:pPr>
    </w:p>
    <w:p w14:paraId="77F26B7B" w14:textId="5E314411" w:rsidR="00A80CE3" w:rsidRPr="00C855DC" w:rsidRDefault="007005F0" w:rsidP="007C4C0A">
      <w:pPr>
        <w:pStyle w:val="ListParagraph"/>
        <w:numPr>
          <w:ilvl w:val="0"/>
          <w:numId w:val="1"/>
        </w:numPr>
        <w:spacing w:after="2" w:line="259" w:lineRule="auto"/>
        <w:rPr>
          <w:sz w:val="20"/>
          <w:szCs w:val="20"/>
        </w:rPr>
      </w:pPr>
      <w:r w:rsidRPr="00C855DC">
        <w:rPr>
          <w:b/>
          <w:sz w:val="20"/>
          <w:szCs w:val="20"/>
        </w:rPr>
        <w:t>Led HR due diligence and post-acquisition integration</w:t>
      </w:r>
      <w:r w:rsidRPr="00C855DC">
        <w:rPr>
          <w:sz w:val="20"/>
          <w:szCs w:val="20"/>
        </w:rPr>
        <w:t xml:space="preserve"> for multiple company acquisitions, overseeing the full employee lifecycle from pre-close analysis to onboarding—including international transitions in the UK (TUPE compliance) </w:t>
      </w:r>
    </w:p>
    <w:p w14:paraId="2A1246C5" w14:textId="125E35F7" w:rsidR="00A80CE3" w:rsidRPr="00C855DC" w:rsidRDefault="007005F0">
      <w:pPr>
        <w:numPr>
          <w:ilvl w:val="0"/>
          <w:numId w:val="1"/>
        </w:numPr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Directed the company’s global immigration strategy</w:t>
      </w:r>
      <w:r w:rsidRPr="00C855DC">
        <w:rPr>
          <w:sz w:val="20"/>
          <w:szCs w:val="20"/>
        </w:rPr>
        <w:t>, managing all visa processes including H-1B (initial and extensions), L-1, J-1, OPT-STEM, Green Cards, and the H-1B lottery</w:t>
      </w:r>
      <w:r w:rsidR="00370D84" w:rsidRPr="00C855DC">
        <w:rPr>
          <w:sz w:val="20"/>
          <w:szCs w:val="20"/>
        </w:rPr>
        <w:t xml:space="preserve">. </w:t>
      </w:r>
    </w:p>
    <w:p w14:paraId="1A31BB6D" w14:textId="66ECB633" w:rsidR="00A80CE3" w:rsidRPr="00C855DC" w:rsidRDefault="004643B2">
      <w:pPr>
        <w:numPr>
          <w:ilvl w:val="0"/>
          <w:numId w:val="1"/>
        </w:numPr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Led all compensation</w:t>
      </w:r>
      <w:r w:rsidR="00A5308A" w:rsidRPr="00C855DC">
        <w:rPr>
          <w:b/>
          <w:sz w:val="20"/>
          <w:szCs w:val="20"/>
        </w:rPr>
        <w:t xml:space="preserve"> analysis</w:t>
      </w:r>
      <w:r w:rsidR="00A5308A" w:rsidRPr="00C855DC">
        <w:rPr>
          <w:sz w:val="20"/>
          <w:szCs w:val="20"/>
        </w:rPr>
        <w:t>, designed and implemented a comprehensive</w:t>
      </w:r>
      <w:r w:rsidR="00764148" w:rsidRPr="00C855DC">
        <w:rPr>
          <w:sz w:val="20"/>
          <w:szCs w:val="20"/>
        </w:rPr>
        <w:t xml:space="preserve"> structure aligned with job families, market benchmarks and internal equity</w:t>
      </w:r>
      <w:r w:rsidR="00370D84" w:rsidRPr="00C855DC">
        <w:rPr>
          <w:sz w:val="20"/>
          <w:szCs w:val="20"/>
        </w:rPr>
        <w:t xml:space="preserve">. </w:t>
      </w:r>
      <w:r w:rsidR="00764148" w:rsidRPr="00C855DC">
        <w:rPr>
          <w:sz w:val="20"/>
          <w:szCs w:val="20"/>
        </w:rPr>
        <w:t>Built salary bands and leveling guides for all positions, providing clear alignment</w:t>
      </w:r>
      <w:r w:rsidR="008E48BF" w:rsidRPr="00C855DC">
        <w:rPr>
          <w:sz w:val="20"/>
          <w:szCs w:val="20"/>
        </w:rPr>
        <w:t xml:space="preserve"> between performance ratings and merit increases. </w:t>
      </w:r>
      <w:r w:rsidR="00526DDC" w:rsidRPr="00C855DC">
        <w:rPr>
          <w:sz w:val="20"/>
          <w:szCs w:val="20"/>
        </w:rPr>
        <w:t xml:space="preserve">Collaborated with Finance to forecast compensation </w:t>
      </w:r>
      <w:r w:rsidR="00915759" w:rsidRPr="00C855DC">
        <w:rPr>
          <w:sz w:val="20"/>
          <w:szCs w:val="20"/>
        </w:rPr>
        <w:t>budgets</w:t>
      </w:r>
      <w:r w:rsidR="00370D84" w:rsidRPr="00C855DC">
        <w:rPr>
          <w:sz w:val="20"/>
          <w:szCs w:val="20"/>
        </w:rPr>
        <w:t xml:space="preserve">. </w:t>
      </w:r>
    </w:p>
    <w:p w14:paraId="00EFFF7F" w14:textId="5A371FC6" w:rsidR="00A80CE3" w:rsidRPr="00C855DC" w:rsidRDefault="007005F0">
      <w:pPr>
        <w:numPr>
          <w:ilvl w:val="0"/>
          <w:numId w:val="1"/>
        </w:numPr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Designed and delivered leadership development programs</w:t>
      </w:r>
      <w:r w:rsidRPr="00C855DC">
        <w:rPr>
          <w:sz w:val="20"/>
          <w:szCs w:val="20"/>
        </w:rPr>
        <w:t xml:space="preserve"> for senior management and newly promoted people leaders, with a focus on manager readiness and organizational capability</w:t>
      </w:r>
      <w:r w:rsidR="00370D84" w:rsidRPr="00C855DC">
        <w:rPr>
          <w:sz w:val="20"/>
          <w:szCs w:val="20"/>
        </w:rPr>
        <w:t xml:space="preserve">. </w:t>
      </w:r>
    </w:p>
    <w:p w14:paraId="122955C6" w14:textId="621BF2C7" w:rsidR="00A80CE3" w:rsidRPr="00C855DC" w:rsidRDefault="007005F0">
      <w:pPr>
        <w:numPr>
          <w:ilvl w:val="0"/>
          <w:numId w:val="1"/>
        </w:numPr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Served as Project Manager for the global HRIS and payroll system implementation</w:t>
      </w:r>
      <w:r w:rsidRPr="00C855DC">
        <w:rPr>
          <w:sz w:val="20"/>
          <w:szCs w:val="20"/>
        </w:rPr>
        <w:t xml:space="preserve">, from RFP through </w:t>
      </w:r>
      <w:r w:rsidR="00370D84" w:rsidRPr="00C855DC">
        <w:rPr>
          <w:sz w:val="20"/>
          <w:szCs w:val="20"/>
        </w:rPr>
        <w:t>go live</w:t>
      </w:r>
      <w:r w:rsidRPr="00C855DC">
        <w:rPr>
          <w:sz w:val="20"/>
          <w:szCs w:val="20"/>
        </w:rPr>
        <w:t>. Oversaw modules for payroll, compensation, LMS, performance management, and tax reporting; led training across business units</w:t>
      </w:r>
      <w:r w:rsidR="00370D84" w:rsidRPr="00C855DC">
        <w:rPr>
          <w:sz w:val="20"/>
          <w:szCs w:val="20"/>
        </w:rPr>
        <w:t xml:space="preserve">. </w:t>
      </w:r>
    </w:p>
    <w:p w14:paraId="56CC4DF8" w14:textId="07FA396A" w:rsidR="00A80CE3" w:rsidRPr="00C855DC" w:rsidRDefault="007005F0">
      <w:pPr>
        <w:numPr>
          <w:ilvl w:val="0"/>
          <w:numId w:val="1"/>
        </w:numPr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Scaled HR operations to support rapid organizational growth</w:t>
      </w:r>
      <w:r w:rsidRPr="00C855DC">
        <w:rPr>
          <w:sz w:val="20"/>
          <w:szCs w:val="20"/>
        </w:rPr>
        <w:t>, leveraging cost-effective recruitment strategies and workforce planning for small-to-mid-sized business units</w:t>
      </w:r>
      <w:r w:rsidR="00370D84" w:rsidRPr="00C855DC">
        <w:rPr>
          <w:sz w:val="20"/>
          <w:szCs w:val="20"/>
        </w:rPr>
        <w:t xml:space="preserve">. </w:t>
      </w:r>
    </w:p>
    <w:p w14:paraId="76D7FB8B" w14:textId="3861212D" w:rsidR="00A80CE3" w:rsidRPr="00C855DC" w:rsidRDefault="007005F0">
      <w:pPr>
        <w:numPr>
          <w:ilvl w:val="0"/>
          <w:numId w:val="1"/>
        </w:numPr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Designed and managed comprehensive global benefits programs</w:t>
      </w:r>
      <w:r w:rsidRPr="00C855DC">
        <w:rPr>
          <w:sz w:val="20"/>
          <w:szCs w:val="20"/>
        </w:rPr>
        <w:t>, aligning offerings with employee needs and company goals across multiple regions</w:t>
      </w:r>
      <w:r w:rsidR="00370D84" w:rsidRPr="00C855DC">
        <w:rPr>
          <w:sz w:val="20"/>
          <w:szCs w:val="20"/>
        </w:rPr>
        <w:t xml:space="preserve">. </w:t>
      </w:r>
    </w:p>
    <w:p w14:paraId="56DA00ED" w14:textId="73E072E8" w:rsidR="00A80CE3" w:rsidRPr="00C855DC" w:rsidRDefault="007005F0">
      <w:pPr>
        <w:numPr>
          <w:ilvl w:val="0"/>
          <w:numId w:val="1"/>
        </w:numPr>
        <w:spacing w:after="13"/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Provided expert guidance on complex employee relations matters</w:t>
      </w:r>
      <w:r w:rsidRPr="00C855DC">
        <w:rPr>
          <w:sz w:val="20"/>
          <w:szCs w:val="20"/>
        </w:rPr>
        <w:t>, fostering a fair, compliant, and high-performing workplace</w:t>
      </w:r>
      <w:r w:rsidR="00370D84" w:rsidRPr="00C855DC">
        <w:rPr>
          <w:sz w:val="20"/>
          <w:szCs w:val="20"/>
        </w:rPr>
        <w:t xml:space="preserve">. </w:t>
      </w:r>
    </w:p>
    <w:p w14:paraId="046260A3" w14:textId="4E3D5C0B" w:rsidR="00A80CE3" w:rsidRPr="00C855DC" w:rsidRDefault="007005F0">
      <w:pPr>
        <w:numPr>
          <w:ilvl w:val="0"/>
          <w:numId w:val="1"/>
        </w:numPr>
        <w:spacing w:after="13"/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Authored and implemented company policies, procedures, and employee handbooks</w:t>
      </w:r>
      <w:r w:rsidRPr="00C855DC">
        <w:rPr>
          <w:sz w:val="20"/>
          <w:szCs w:val="20"/>
        </w:rPr>
        <w:t>, ensuring alignment with culture and operational objectives</w:t>
      </w:r>
      <w:r w:rsidR="00370D84" w:rsidRPr="00C855DC">
        <w:rPr>
          <w:sz w:val="20"/>
          <w:szCs w:val="20"/>
        </w:rPr>
        <w:t xml:space="preserve">. </w:t>
      </w:r>
    </w:p>
    <w:p w14:paraId="4D220D34" w14:textId="77777777" w:rsidR="00A80CE3" w:rsidRPr="00C855DC" w:rsidRDefault="007005F0">
      <w:pPr>
        <w:numPr>
          <w:ilvl w:val="0"/>
          <w:numId w:val="1"/>
        </w:numPr>
        <w:spacing w:after="13"/>
        <w:ind w:right="3" w:hanging="360"/>
        <w:rPr>
          <w:sz w:val="20"/>
          <w:szCs w:val="20"/>
        </w:rPr>
      </w:pPr>
      <w:r w:rsidRPr="00C855DC">
        <w:rPr>
          <w:b/>
          <w:sz w:val="20"/>
          <w:szCs w:val="20"/>
        </w:rPr>
        <w:t>Ensured compliance with all federal, state, and international employment regulations</w:t>
      </w:r>
      <w:r w:rsidRPr="00C855DC">
        <w:rPr>
          <w:sz w:val="20"/>
          <w:szCs w:val="20"/>
        </w:rPr>
        <w:t xml:space="preserve">, including EEO, AA plans, SOC compliance, and local labor laws. </w:t>
      </w:r>
    </w:p>
    <w:p w14:paraId="6907D896" w14:textId="77777777" w:rsidR="00A80CE3" w:rsidRPr="00C855DC" w:rsidRDefault="007005F0">
      <w:pPr>
        <w:spacing w:after="0" w:line="259" w:lineRule="auto"/>
        <w:ind w:left="10" w:right="5" w:hanging="10"/>
        <w:jc w:val="center"/>
        <w:rPr>
          <w:szCs w:val="22"/>
        </w:rPr>
      </w:pPr>
      <w:r w:rsidRPr="00C855DC">
        <w:rPr>
          <w:b/>
          <w:color w:val="548DD4"/>
          <w:szCs w:val="22"/>
          <w:u w:val="single" w:color="548DD4"/>
        </w:rPr>
        <w:t>Professional Experience</w:t>
      </w:r>
      <w:r w:rsidRPr="00C855DC">
        <w:rPr>
          <w:b/>
          <w:color w:val="548DD4"/>
          <w:szCs w:val="22"/>
        </w:rPr>
        <w:t xml:space="preserve"> </w:t>
      </w:r>
    </w:p>
    <w:p w14:paraId="6D0CD8EB" w14:textId="77777777" w:rsidR="00A80CE3" w:rsidRDefault="007005F0">
      <w:pPr>
        <w:spacing w:after="0" w:line="259" w:lineRule="auto"/>
        <w:ind w:left="45" w:firstLine="0"/>
        <w:jc w:val="center"/>
      </w:pPr>
      <w:r>
        <w:t xml:space="preserve"> </w:t>
      </w:r>
    </w:p>
    <w:p w14:paraId="20EA94D4" w14:textId="6B3D8D65" w:rsidR="00A80CE3" w:rsidRPr="00C855DC" w:rsidRDefault="007005F0" w:rsidP="007C4C0A">
      <w:pPr>
        <w:pStyle w:val="Heading1"/>
        <w:spacing w:after="0" w:line="250" w:lineRule="auto"/>
        <w:ind w:left="0" w:right="720" w:hanging="14"/>
      </w:pPr>
      <w:r w:rsidRPr="00C855DC">
        <w:t xml:space="preserve">CAMP Systems International – Merrimack, </w:t>
      </w:r>
      <w:r w:rsidR="00D20C09" w:rsidRPr="00C855DC">
        <w:t xml:space="preserve">NH </w:t>
      </w:r>
      <w:r w:rsidR="00370D84" w:rsidRPr="00C855DC">
        <w:tab/>
        <w:t xml:space="preserve"> 9</w:t>
      </w:r>
      <w:r w:rsidRPr="00C855DC">
        <w:t xml:space="preserve">/2015 – </w:t>
      </w:r>
      <w:r w:rsidR="007C4C0A" w:rsidRPr="00C855DC">
        <w:t>8/</w:t>
      </w:r>
      <w:r w:rsidR="00370D84" w:rsidRPr="00C855DC">
        <w:t>2025 VP</w:t>
      </w:r>
      <w:r w:rsidR="007C4C0A" w:rsidRPr="00C855DC">
        <w:t xml:space="preserve"> Hu</w:t>
      </w:r>
      <w:r w:rsidRPr="00C855DC">
        <w:t xml:space="preserve">man Resources </w:t>
      </w:r>
    </w:p>
    <w:p w14:paraId="625C3A64" w14:textId="77777777" w:rsidR="00A80CE3" w:rsidRPr="00C855DC" w:rsidRDefault="007005F0">
      <w:pPr>
        <w:spacing w:after="0" w:line="259" w:lineRule="auto"/>
        <w:ind w:left="-5" w:hanging="10"/>
      </w:pPr>
      <w:r w:rsidRPr="00C855DC">
        <w:rPr>
          <w:b/>
          <w:i/>
        </w:rPr>
        <w:t>Global Aviation (SAAS) Software Company</w:t>
      </w:r>
      <w:r w:rsidRPr="00C855DC">
        <w:rPr>
          <w:b/>
        </w:rPr>
        <w:t xml:space="preserve"> </w:t>
      </w:r>
    </w:p>
    <w:p w14:paraId="07390312" w14:textId="77777777" w:rsidR="00A80CE3" w:rsidRPr="00C855DC" w:rsidRDefault="007005F0">
      <w:pPr>
        <w:spacing w:after="259" w:line="259" w:lineRule="auto"/>
        <w:ind w:left="-5" w:hanging="10"/>
      </w:pPr>
      <w:r w:rsidRPr="00C855DC">
        <w:rPr>
          <w:b/>
          <w:i/>
        </w:rPr>
        <w:t>Employee Count: 1,600+ | Revenue: $550M | Offices in U.S., Canada, U.K., India, and France</w:t>
      </w:r>
      <w:r w:rsidRPr="00C855DC">
        <w:rPr>
          <w:b/>
        </w:rPr>
        <w:t xml:space="preserve"> </w:t>
      </w:r>
    </w:p>
    <w:p w14:paraId="31377CDE" w14:textId="77777777" w:rsidR="00A80CE3" w:rsidRPr="00E442EB" w:rsidRDefault="007005F0" w:rsidP="00E442EB">
      <w:pPr>
        <w:pStyle w:val="ListParagraph"/>
        <w:numPr>
          <w:ilvl w:val="0"/>
          <w:numId w:val="4"/>
        </w:numPr>
        <w:ind w:right="3"/>
        <w:rPr>
          <w:sz w:val="20"/>
          <w:szCs w:val="20"/>
        </w:rPr>
      </w:pPr>
      <w:r w:rsidRPr="00E442EB">
        <w:rPr>
          <w:sz w:val="20"/>
          <w:szCs w:val="20"/>
        </w:rPr>
        <w:t xml:space="preserve">Lead all functional areas of Human Resources for a global aviation software company with over 1,600 employees and $550 million in annual revenue, supporting operations across the U.S., Canada, U.K., India, and France— including oversight of seven U.S.-based subsidiaries. </w:t>
      </w:r>
    </w:p>
    <w:p w14:paraId="38BE1462" w14:textId="665B5665" w:rsidR="00A80CE3" w:rsidRPr="00E442EB" w:rsidRDefault="007005F0" w:rsidP="00E442E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E442EB">
        <w:rPr>
          <w:sz w:val="20"/>
          <w:szCs w:val="20"/>
        </w:rPr>
        <w:t xml:space="preserve">Played a key role in scaling the organization from under </w:t>
      </w:r>
      <w:r w:rsidR="00370D84" w:rsidRPr="00E442EB">
        <w:rPr>
          <w:sz w:val="20"/>
          <w:szCs w:val="20"/>
        </w:rPr>
        <w:t>six hundred</w:t>
      </w:r>
      <w:r w:rsidRPr="00E442EB">
        <w:rPr>
          <w:sz w:val="20"/>
          <w:szCs w:val="20"/>
        </w:rPr>
        <w:t xml:space="preserve"> employees and $50 million in revenue, establishing the infrastructure and HR strategy to support sustained global growth. </w:t>
      </w:r>
    </w:p>
    <w:p w14:paraId="6F20D53B" w14:textId="77777777" w:rsidR="00A80CE3" w:rsidRPr="00E442EB" w:rsidRDefault="007005F0" w:rsidP="00E442EB">
      <w:pPr>
        <w:pStyle w:val="ListParagraph"/>
        <w:numPr>
          <w:ilvl w:val="0"/>
          <w:numId w:val="4"/>
        </w:numPr>
        <w:ind w:right="3"/>
        <w:rPr>
          <w:sz w:val="20"/>
          <w:szCs w:val="20"/>
        </w:rPr>
      </w:pPr>
      <w:r w:rsidRPr="00E442EB">
        <w:rPr>
          <w:sz w:val="20"/>
          <w:szCs w:val="20"/>
        </w:rPr>
        <w:t xml:space="preserve">Oversee annual U.S. and Canadian benefits renewals, including vendor negotiations, plan design, employee communications, and cost analysis. </w:t>
      </w:r>
    </w:p>
    <w:p w14:paraId="59A12C46" w14:textId="77777777" w:rsidR="00A80CE3" w:rsidRPr="00CC4839" w:rsidRDefault="007005F0" w:rsidP="00CC4839">
      <w:pPr>
        <w:pStyle w:val="ListParagraph"/>
        <w:numPr>
          <w:ilvl w:val="0"/>
          <w:numId w:val="4"/>
        </w:numPr>
        <w:ind w:right="3"/>
        <w:rPr>
          <w:sz w:val="20"/>
          <w:szCs w:val="20"/>
        </w:rPr>
      </w:pPr>
      <w:r w:rsidRPr="00CC4839">
        <w:rPr>
          <w:sz w:val="20"/>
          <w:szCs w:val="20"/>
        </w:rPr>
        <w:t xml:space="preserve">Serve as the primary HR liaison for global General Managers, resolving complex employee relations issues, compliance concerns, and workforce planning initiatives across regions. </w:t>
      </w:r>
    </w:p>
    <w:p w14:paraId="172C4C61" w14:textId="77777777" w:rsidR="00A80CE3" w:rsidRPr="00D20C09" w:rsidRDefault="007005F0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lastRenderedPageBreak/>
        <w:t xml:space="preserve">Direct and manage the HR due diligence and integration process for domestic and international acquisitions, including onboarding, systems alignment, and cultural integration. </w:t>
      </w:r>
    </w:p>
    <w:p w14:paraId="197ADBA4" w14:textId="77777777" w:rsidR="00A80CE3" w:rsidRPr="00D20C09" w:rsidRDefault="007005F0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 xml:space="preserve">Lead full-cycle recruitment efforts across the U.S., U.K., and Canada, ensuring timely hiring of top talent while maintaining compliance with regional employment laws. </w:t>
      </w:r>
    </w:p>
    <w:p w14:paraId="1948D11C" w14:textId="29F20C82" w:rsidR="00A80CE3" w:rsidRPr="00D20C09" w:rsidRDefault="007005F0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 xml:space="preserve">Manage, mentor, and develop a high-performing HR team of </w:t>
      </w:r>
      <w:r w:rsidR="00370D84" w:rsidRPr="00D20C09">
        <w:rPr>
          <w:sz w:val="20"/>
          <w:szCs w:val="20"/>
        </w:rPr>
        <w:t>seven</w:t>
      </w:r>
      <w:r w:rsidRPr="00D20C09">
        <w:rPr>
          <w:sz w:val="20"/>
          <w:szCs w:val="20"/>
        </w:rPr>
        <w:t xml:space="preserve"> direct reports across various HR functions. </w:t>
      </w:r>
    </w:p>
    <w:p w14:paraId="198AF14C" w14:textId="77777777" w:rsidR="00A80CE3" w:rsidRPr="00D20C09" w:rsidRDefault="007005F0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 xml:space="preserve">Design, implement, and manage a robust </w:t>
      </w:r>
      <w:r w:rsidRPr="00D20C09">
        <w:rPr>
          <w:b/>
          <w:sz w:val="20"/>
          <w:szCs w:val="20"/>
        </w:rPr>
        <w:t>Leadership &amp; Development</w:t>
      </w:r>
      <w:r w:rsidRPr="00D20C09">
        <w:rPr>
          <w:sz w:val="20"/>
          <w:szCs w:val="20"/>
        </w:rPr>
        <w:t xml:space="preserve"> program, providing targeted training for senior executives, people leaders, and first-time managers. </w:t>
      </w:r>
    </w:p>
    <w:p w14:paraId="0257A716" w14:textId="77777777" w:rsidR="00A80CE3" w:rsidRPr="00D20C09" w:rsidRDefault="007005F0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 xml:space="preserve">Collaborate with the company’s parent organization, </w:t>
      </w:r>
      <w:r w:rsidRPr="00D20C09">
        <w:rPr>
          <w:b/>
          <w:sz w:val="20"/>
          <w:szCs w:val="20"/>
        </w:rPr>
        <w:t>The Hearst Corporation</w:t>
      </w:r>
      <w:r w:rsidRPr="00D20C09">
        <w:rPr>
          <w:sz w:val="20"/>
          <w:szCs w:val="20"/>
        </w:rPr>
        <w:t xml:space="preserve">, on monthly reporting, compliance deliverables, and strategic business opportunities. </w:t>
      </w:r>
    </w:p>
    <w:p w14:paraId="77B1AC7D" w14:textId="77777777" w:rsidR="00A80CE3" w:rsidRPr="00D20C09" w:rsidRDefault="007005F0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 xml:space="preserve">Advise senior leadership on all organizational development initiatives, including workforce expansions, reorganizations, and reductions in force (RIFs). </w:t>
      </w:r>
    </w:p>
    <w:p w14:paraId="1BC391FB" w14:textId="6F359755" w:rsidR="00E6306C" w:rsidRPr="00D20C09" w:rsidRDefault="00E6306C">
      <w:pPr>
        <w:numPr>
          <w:ilvl w:val="0"/>
          <w:numId w:val="2"/>
        </w:numPr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>Developed and communicated compensation philosophy and practices to managers to drive transparency and consistency in pay decisions</w:t>
      </w:r>
      <w:r w:rsidR="00370D84" w:rsidRPr="00D20C09">
        <w:rPr>
          <w:sz w:val="20"/>
          <w:szCs w:val="20"/>
        </w:rPr>
        <w:t xml:space="preserve">. </w:t>
      </w:r>
      <w:r w:rsidRPr="00D20C09">
        <w:rPr>
          <w:sz w:val="20"/>
          <w:szCs w:val="20"/>
        </w:rPr>
        <w:t>Integrated compensation planning with performance management cycles, linking individual achievement to measurable reward outcomes.</w:t>
      </w:r>
    </w:p>
    <w:p w14:paraId="76332BC6" w14:textId="77777777" w:rsidR="00A80CE3" w:rsidRPr="00D20C09" w:rsidRDefault="007005F0">
      <w:pPr>
        <w:numPr>
          <w:ilvl w:val="0"/>
          <w:numId w:val="2"/>
        </w:numPr>
        <w:spacing w:after="286"/>
        <w:ind w:right="3" w:hanging="360"/>
        <w:rPr>
          <w:sz w:val="20"/>
          <w:szCs w:val="20"/>
        </w:rPr>
      </w:pPr>
      <w:r w:rsidRPr="00D20C09">
        <w:rPr>
          <w:sz w:val="20"/>
          <w:szCs w:val="20"/>
        </w:rPr>
        <w:t xml:space="preserve">Partner with internal legal counsel on sensitive HR matters, ensuring consistent and compliant handling of employment issues. </w:t>
      </w:r>
    </w:p>
    <w:p w14:paraId="773A3DCA" w14:textId="3FB2892C" w:rsidR="00A80CE3" w:rsidRPr="00D20C09" w:rsidRDefault="007005F0" w:rsidP="00E442EB">
      <w:r w:rsidRPr="00E442EB">
        <w:rPr>
          <w:b/>
          <w:bCs/>
        </w:rPr>
        <w:t xml:space="preserve">Acronis, </w:t>
      </w:r>
      <w:r w:rsidR="00370D84" w:rsidRPr="00E442EB">
        <w:rPr>
          <w:b/>
          <w:bCs/>
        </w:rPr>
        <w:t xml:space="preserve">Inc. </w:t>
      </w:r>
      <w:r w:rsidRPr="00E442EB">
        <w:rPr>
          <w:b/>
          <w:bCs/>
        </w:rPr>
        <w:t>– Woburn, MA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Pr="00E442EB">
        <w:rPr>
          <w:b/>
          <w:bCs/>
        </w:rPr>
        <w:t xml:space="preserve">5/09 – 8/2015 HR Manager </w:t>
      </w:r>
      <w:r w:rsidRPr="00E442EB">
        <w:rPr>
          <w:b/>
          <w:bCs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 w:rsidR="00E442EB" w:rsidRPr="00E442EB">
        <w:rPr>
          <w:sz w:val="20"/>
          <w:szCs w:val="20"/>
        </w:rPr>
        <w:t xml:space="preserve">Backup &amp; Recovery </w:t>
      </w:r>
      <w:r w:rsidRPr="00E442EB">
        <w:rPr>
          <w:sz w:val="20"/>
          <w:szCs w:val="20"/>
        </w:rPr>
        <w:t xml:space="preserve">Software </w:t>
      </w:r>
      <w:r w:rsidR="00E442EB" w:rsidRPr="00E442EB">
        <w:rPr>
          <w:sz w:val="20"/>
          <w:szCs w:val="20"/>
        </w:rPr>
        <w:t>Company</w:t>
      </w:r>
      <w:r w:rsidRPr="00E442EB">
        <w:rPr>
          <w:sz w:val="20"/>
          <w:szCs w:val="20"/>
        </w:rPr>
        <w:t xml:space="preserve"> – I manage the HR function for this Back Up &amp; Recovery Software Company</w:t>
      </w:r>
      <w:r w:rsidR="00370D84" w:rsidRPr="00E442EB">
        <w:rPr>
          <w:sz w:val="20"/>
          <w:szCs w:val="20"/>
        </w:rPr>
        <w:t xml:space="preserve">. </w:t>
      </w:r>
      <w:r w:rsidRPr="00E442EB">
        <w:rPr>
          <w:sz w:val="20"/>
          <w:szCs w:val="20"/>
        </w:rPr>
        <w:t xml:space="preserve">I manage the </w:t>
      </w:r>
      <w:r w:rsidR="00D20C09" w:rsidRPr="00E442EB">
        <w:rPr>
          <w:sz w:val="20"/>
          <w:szCs w:val="20"/>
        </w:rPr>
        <w:t>day-to-day</w:t>
      </w:r>
      <w:r w:rsidRPr="00E442EB">
        <w:rPr>
          <w:sz w:val="20"/>
          <w:szCs w:val="20"/>
        </w:rPr>
        <w:t xml:space="preserve"> employee relation issues, all US recruiting, benefits administration, stock administration, sales management training, compensation </w:t>
      </w:r>
      <w:r w:rsidR="00370D84" w:rsidRPr="00E442EB">
        <w:rPr>
          <w:sz w:val="20"/>
          <w:szCs w:val="20"/>
        </w:rPr>
        <w:t>management,</w:t>
      </w:r>
      <w:r w:rsidRPr="00E442EB">
        <w:rPr>
          <w:sz w:val="20"/>
          <w:szCs w:val="20"/>
        </w:rPr>
        <w:t xml:space="preserve"> and all other HR aspects</w:t>
      </w:r>
      <w:r w:rsidR="00370D84" w:rsidRPr="00E442EB">
        <w:rPr>
          <w:sz w:val="20"/>
          <w:szCs w:val="20"/>
        </w:rPr>
        <w:t xml:space="preserve">. </w:t>
      </w:r>
      <w:r w:rsidRPr="00E442EB">
        <w:rPr>
          <w:sz w:val="20"/>
          <w:szCs w:val="20"/>
        </w:rPr>
        <w:t xml:space="preserve">In addition, I </w:t>
      </w:r>
      <w:r w:rsidR="00370D84">
        <w:rPr>
          <w:sz w:val="20"/>
          <w:szCs w:val="20"/>
        </w:rPr>
        <w:t>managed</w:t>
      </w:r>
      <w:r w:rsidRPr="00E442EB">
        <w:rPr>
          <w:sz w:val="20"/>
          <w:szCs w:val="20"/>
        </w:rPr>
        <w:t xml:space="preserve"> </w:t>
      </w:r>
      <w:r w:rsidR="00370D84" w:rsidRPr="00E442EB">
        <w:rPr>
          <w:sz w:val="20"/>
          <w:szCs w:val="20"/>
        </w:rPr>
        <w:t>to move</w:t>
      </w:r>
      <w:r w:rsidRPr="00E442EB">
        <w:rPr>
          <w:sz w:val="20"/>
          <w:szCs w:val="20"/>
        </w:rPr>
        <w:t xml:space="preserve"> the company into a new location</w:t>
      </w:r>
      <w:r w:rsidR="00370D84" w:rsidRPr="00E442EB">
        <w:rPr>
          <w:sz w:val="20"/>
          <w:szCs w:val="20"/>
        </w:rPr>
        <w:t xml:space="preserve">. </w:t>
      </w:r>
      <w:r w:rsidRPr="00E442EB">
        <w:rPr>
          <w:sz w:val="20"/>
          <w:szCs w:val="20"/>
        </w:rPr>
        <w:t>I have also been involved in creating a Global HR function with Global Acronis locations including EMEA, APAC and Russia offices</w:t>
      </w:r>
      <w:r w:rsidR="00370D84" w:rsidRPr="00E442EB">
        <w:rPr>
          <w:sz w:val="20"/>
          <w:szCs w:val="20"/>
        </w:rPr>
        <w:t>.</w:t>
      </w:r>
      <w:r w:rsidR="00370D84" w:rsidRPr="00D20C09">
        <w:t xml:space="preserve"> </w:t>
      </w:r>
    </w:p>
    <w:p w14:paraId="106155F0" w14:textId="77777777" w:rsidR="00A80CE3" w:rsidRDefault="007005F0">
      <w:pPr>
        <w:spacing w:after="0" w:line="259" w:lineRule="auto"/>
        <w:ind w:left="45" w:firstLine="0"/>
        <w:jc w:val="center"/>
      </w:pPr>
      <w:r>
        <w:rPr>
          <w:b/>
          <w:color w:val="548DD4"/>
        </w:rPr>
        <w:t xml:space="preserve"> </w:t>
      </w:r>
    </w:p>
    <w:p w14:paraId="012A8CDE" w14:textId="77777777" w:rsidR="00A80CE3" w:rsidRDefault="007005F0">
      <w:pPr>
        <w:pStyle w:val="Heading1"/>
        <w:ind w:left="-5"/>
      </w:pPr>
      <w:r>
        <w:t xml:space="preserve">Black Diamond Networks – Lawrence, MA </w:t>
      </w:r>
      <w:r>
        <w:tab/>
        <w:t xml:space="preserve"> </w:t>
      </w:r>
      <w:r>
        <w:tab/>
        <w:t xml:space="preserve"> </w:t>
      </w:r>
      <w:r>
        <w:tab/>
        <w:t xml:space="preserve">4/08 – 8/08 Contract Recruiter </w:t>
      </w:r>
    </w:p>
    <w:p w14:paraId="586AC85C" w14:textId="2A427B61" w:rsidR="00A80CE3" w:rsidRPr="00E442EB" w:rsidRDefault="007005F0" w:rsidP="00E442EB">
      <w:pPr>
        <w:ind w:firstLine="0"/>
        <w:rPr>
          <w:sz w:val="20"/>
          <w:szCs w:val="20"/>
        </w:rPr>
      </w:pPr>
      <w:r w:rsidRPr="00E442EB">
        <w:rPr>
          <w:sz w:val="20"/>
          <w:szCs w:val="20"/>
        </w:rPr>
        <w:t>IT Placement Agency –</w:t>
      </w:r>
      <w:r w:rsidR="00370D84">
        <w:rPr>
          <w:sz w:val="20"/>
          <w:szCs w:val="20"/>
        </w:rPr>
        <w:t xml:space="preserve">Recruited </w:t>
      </w:r>
      <w:r w:rsidRPr="00E442EB">
        <w:rPr>
          <w:sz w:val="20"/>
          <w:szCs w:val="20"/>
        </w:rPr>
        <w:t>for Sales and Recruiters to join this IT Staffing Agency. (</w:t>
      </w:r>
      <w:r w:rsidR="00D20C09" w:rsidRPr="00E442EB">
        <w:rPr>
          <w:sz w:val="20"/>
          <w:szCs w:val="20"/>
        </w:rPr>
        <w:t>3-month</w:t>
      </w:r>
      <w:r w:rsidRPr="00E442EB">
        <w:rPr>
          <w:sz w:val="20"/>
          <w:szCs w:val="20"/>
        </w:rPr>
        <w:t xml:space="preserve"> contract position.) </w:t>
      </w:r>
    </w:p>
    <w:p w14:paraId="1395559B" w14:textId="77777777" w:rsidR="00A80CE3" w:rsidRDefault="007005F0">
      <w:pPr>
        <w:spacing w:after="0" w:line="259" w:lineRule="auto"/>
        <w:ind w:left="45" w:firstLine="0"/>
        <w:jc w:val="center"/>
      </w:pPr>
      <w:r>
        <w:rPr>
          <w:b/>
          <w:color w:val="548DD4"/>
        </w:rPr>
        <w:t xml:space="preserve"> </w:t>
      </w:r>
    </w:p>
    <w:p w14:paraId="5846FC9A" w14:textId="7E2A4F7F" w:rsidR="00A80CE3" w:rsidRPr="00E442EB" w:rsidRDefault="007005F0" w:rsidP="00E442EB">
      <w:pPr>
        <w:pStyle w:val="Heading1"/>
        <w:ind w:left="-5"/>
        <w:rPr>
          <w:b w:val="0"/>
          <w:bCs/>
          <w:sz w:val="20"/>
          <w:szCs w:val="20"/>
        </w:rPr>
      </w:pPr>
      <w:r>
        <w:t xml:space="preserve">Keurig, Inc. - Wakefield, MA.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3/02 – 12/07 Human Resources </w:t>
      </w:r>
      <w:r w:rsidR="00E442EB">
        <w:t xml:space="preserve">Manager </w:t>
      </w:r>
      <w:r w:rsidR="00370D84">
        <w:tab/>
        <w:t xml:space="preserve"> </w:t>
      </w:r>
      <w:r w:rsidR="00370D84">
        <w:tab/>
      </w:r>
      <w:r>
        <w:t xml:space="preserve"> </w:t>
      </w:r>
      <w:r w:rsidR="00E442EB" w:rsidRPr="00E442EB">
        <w:rPr>
          <w:b w:val="0"/>
          <w:bCs/>
          <w:sz w:val="20"/>
          <w:szCs w:val="20"/>
        </w:rPr>
        <w:tab/>
        <w:t>M</w:t>
      </w:r>
      <w:r w:rsidRPr="00E442EB">
        <w:rPr>
          <w:b w:val="0"/>
          <w:bCs/>
          <w:sz w:val="20"/>
          <w:szCs w:val="20"/>
        </w:rPr>
        <w:t xml:space="preserve">anufacturer of single cup coffee machine – Since I started at Keurig, the company grew from </w:t>
      </w:r>
      <w:r w:rsidR="00370D84" w:rsidRPr="00E442EB">
        <w:rPr>
          <w:b w:val="0"/>
          <w:bCs/>
          <w:sz w:val="20"/>
          <w:szCs w:val="20"/>
        </w:rPr>
        <w:t>thirty</w:t>
      </w:r>
      <w:r w:rsidRPr="00E442EB">
        <w:rPr>
          <w:b w:val="0"/>
          <w:bCs/>
          <w:sz w:val="20"/>
          <w:szCs w:val="20"/>
        </w:rPr>
        <w:t xml:space="preserve"> </w:t>
      </w:r>
      <w:r w:rsidR="00D20C09" w:rsidRPr="00E442EB">
        <w:rPr>
          <w:b w:val="0"/>
          <w:bCs/>
          <w:sz w:val="20"/>
          <w:szCs w:val="20"/>
        </w:rPr>
        <w:t>employees</w:t>
      </w:r>
      <w:r w:rsidRPr="00E442EB">
        <w:rPr>
          <w:b w:val="0"/>
          <w:bCs/>
          <w:sz w:val="20"/>
          <w:szCs w:val="20"/>
        </w:rPr>
        <w:t xml:space="preserve"> to 148 </w:t>
      </w:r>
      <w:r w:rsidR="00D20C09" w:rsidRPr="00E442EB">
        <w:rPr>
          <w:b w:val="0"/>
          <w:bCs/>
          <w:sz w:val="20"/>
          <w:szCs w:val="20"/>
        </w:rPr>
        <w:t>employees</w:t>
      </w:r>
      <w:r w:rsidR="00E442EB" w:rsidRPr="00E442EB">
        <w:rPr>
          <w:b w:val="0"/>
          <w:bCs/>
          <w:sz w:val="20"/>
          <w:szCs w:val="20"/>
        </w:rPr>
        <w:t>.</w:t>
      </w:r>
      <w:r w:rsidRPr="00E442EB">
        <w:rPr>
          <w:b w:val="0"/>
          <w:bCs/>
          <w:sz w:val="20"/>
          <w:szCs w:val="20"/>
        </w:rPr>
        <w:t xml:space="preserve"> </w:t>
      </w:r>
      <w:r w:rsidR="00E442EB" w:rsidRPr="00E442EB">
        <w:rPr>
          <w:b w:val="0"/>
          <w:bCs/>
          <w:sz w:val="20"/>
          <w:szCs w:val="20"/>
        </w:rPr>
        <w:t>M</w:t>
      </w:r>
      <w:r w:rsidRPr="00E442EB">
        <w:rPr>
          <w:b w:val="0"/>
          <w:bCs/>
          <w:sz w:val="20"/>
          <w:szCs w:val="20"/>
        </w:rPr>
        <w:t xml:space="preserve">anaged all recruiting efforts, for both on site employee’s and </w:t>
      </w:r>
      <w:r w:rsidR="00D20C09" w:rsidRPr="00E442EB">
        <w:rPr>
          <w:b w:val="0"/>
          <w:bCs/>
          <w:sz w:val="20"/>
          <w:szCs w:val="20"/>
        </w:rPr>
        <w:t>employees</w:t>
      </w:r>
      <w:r w:rsidRPr="00E442EB">
        <w:rPr>
          <w:b w:val="0"/>
          <w:bCs/>
          <w:sz w:val="20"/>
          <w:szCs w:val="20"/>
        </w:rPr>
        <w:t xml:space="preserve"> </w:t>
      </w:r>
      <w:r w:rsidR="00D20C09" w:rsidRPr="00E442EB">
        <w:rPr>
          <w:b w:val="0"/>
          <w:bCs/>
          <w:sz w:val="20"/>
          <w:szCs w:val="20"/>
        </w:rPr>
        <w:t>throughout</w:t>
      </w:r>
      <w:r w:rsidRPr="00E442EB">
        <w:rPr>
          <w:b w:val="0"/>
          <w:bCs/>
          <w:sz w:val="20"/>
          <w:szCs w:val="20"/>
        </w:rPr>
        <w:t xml:space="preserve"> the US and Canada, including exempt, non-exempt and Sr. Management recruiting; new hire orientation, developed job descriptions, managed terminations, exit interviews, new employee handbook</w:t>
      </w:r>
      <w:r w:rsidR="00370D84" w:rsidRPr="00E442EB">
        <w:rPr>
          <w:b w:val="0"/>
          <w:bCs/>
          <w:sz w:val="20"/>
          <w:szCs w:val="20"/>
        </w:rPr>
        <w:t xml:space="preserve">. </w:t>
      </w:r>
      <w:r w:rsidRPr="00E442EB">
        <w:rPr>
          <w:b w:val="0"/>
          <w:bCs/>
          <w:sz w:val="20"/>
          <w:szCs w:val="20"/>
        </w:rPr>
        <w:t xml:space="preserve">I </w:t>
      </w:r>
      <w:r w:rsidR="00370D84" w:rsidRPr="00E442EB">
        <w:rPr>
          <w:b w:val="0"/>
          <w:bCs/>
          <w:sz w:val="20"/>
          <w:szCs w:val="20"/>
        </w:rPr>
        <w:t>managed</w:t>
      </w:r>
      <w:r w:rsidRPr="00E442EB">
        <w:rPr>
          <w:b w:val="0"/>
          <w:bCs/>
          <w:sz w:val="20"/>
          <w:szCs w:val="20"/>
        </w:rPr>
        <w:t xml:space="preserve"> all benefits administration including upgrading the employee benefits package</w:t>
      </w:r>
      <w:r w:rsidR="00370D84" w:rsidRPr="00E442EB">
        <w:rPr>
          <w:b w:val="0"/>
          <w:bCs/>
          <w:sz w:val="20"/>
          <w:szCs w:val="20"/>
        </w:rPr>
        <w:t xml:space="preserve">. </w:t>
      </w:r>
      <w:r w:rsidRPr="00E442EB">
        <w:rPr>
          <w:b w:val="0"/>
          <w:bCs/>
          <w:sz w:val="20"/>
          <w:szCs w:val="20"/>
        </w:rPr>
        <w:t>I managed all employee relations and worked with Sr. Management Team on resolutions</w:t>
      </w:r>
      <w:r w:rsidR="00370D84" w:rsidRPr="00E442EB">
        <w:rPr>
          <w:b w:val="0"/>
          <w:bCs/>
          <w:sz w:val="20"/>
          <w:szCs w:val="20"/>
        </w:rPr>
        <w:t xml:space="preserve">. </w:t>
      </w:r>
      <w:r w:rsidRPr="00E442EB">
        <w:rPr>
          <w:b w:val="0"/>
          <w:bCs/>
          <w:sz w:val="20"/>
          <w:szCs w:val="20"/>
        </w:rPr>
        <w:t>I led the integration between Keurig and GMCR when the company sold</w:t>
      </w:r>
      <w:r w:rsidR="00370D84">
        <w:rPr>
          <w:b w:val="0"/>
          <w:bCs/>
          <w:sz w:val="20"/>
          <w:szCs w:val="20"/>
        </w:rPr>
        <w:t xml:space="preserve"> to GMCR</w:t>
      </w:r>
      <w:r w:rsidRPr="00E442EB">
        <w:rPr>
          <w:b w:val="0"/>
          <w:bCs/>
          <w:sz w:val="20"/>
          <w:szCs w:val="20"/>
        </w:rPr>
        <w:t xml:space="preserve">. </w:t>
      </w:r>
    </w:p>
    <w:p w14:paraId="7EAA63C9" w14:textId="6CC9B926" w:rsidR="00A80CE3" w:rsidRPr="00D20C09" w:rsidRDefault="007005F0">
      <w:pPr>
        <w:spacing w:after="0" w:line="239" w:lineRule="auto"/>
        <w:ind w:left="-5" w:right="-8" w:hanging="10"/>
        <w:jc w:val="both"/>
        <w:rPr>
          <w:sz w:val="20"/>
          <w:szCs w:val="20"/>
        </w:rPr>
      </w:pPr>
      <w:r w:rsidRPr="00D20C09">
        <w:rPr>
          <w:sz w:val="20"/>
          <w:szCs w:val="20"/>
        </w:rPr>
        <w:t xml:space="preserve">Started out on a </w:t>
      </w:r>
      <w:r w:rsidR="007C4C0A" w:rsidRPr="00D20C09">
        <w:rPr>
          <w:sz w:val="20"/>
          <w:szCs w:val="20"/>
        </w:rPr>
        <w:t>month-to-month</w:t>
      </w:r>
      <w:r w:rsidRPr="00D20C09">
        <w:rPr>
          <w:sz w:val="20"/>
          <w:szCs w:val="20"/>
        </w:rPr>
        <w:t xml:space="preserve"> contract to help grow a consumer goods manufacturing company</w:t>
      </w:r>
      <w:r w:rsidR="00370D84" w:rsidRPr="00D20C09">
        <w:rPr>
          <w:sz w:val="20"/>
          <w:szCs w:val="20"/>
        </w:rPr>
        <w:t xml:space="preserve">. </w:t>
      </w:r>
      <w:r w:rsidRPr="00D20C09">
        <w:rPr>
          <w:sz w:val="20"/>
          <w:szCs w:val="20"/>
        </w:rPr>
        <w:t>Work with Senior Management Team to develop hiring strategies</w:t>
      </w:r>
      <w:r w:rsidR="00370D84" w:rsidRPr="00D20C09">
        <w:rPr>
          <w:sz w:val="20"/>
          <w:szCs w:val="20"/>
        </w:rPr>
        <w:t xml:space="preserve">. </w:t>
      </w:r>
      <w:r w:rsidRPr="00D20C09">
        <w:rPr>
          <w:sz w:val="20"/>
          <w:szCs w:val="20"/>
        </w:rPr>
        <w:t xml:space="preserve">Manage entire recruiting process from developing job descriptions, through job postings, interviewing, negotiating salaries with perspective employees and developing </w:t>
      </w:r>
      <w:r w:rsidR="00370D84">
        <w:rPr>
          <w:sz w:val="20"/>
          <w:szCs w:val="20"/>
        </w:rPr>
        <w:t>letters of offer</w:t>
      </w:r>
      <w:r w:rsidR="00370D84" w:rsidRPr="00D20C09">
        <w:rPr>
          <w:sz w:val="20"/>
          <w:szCs w:val="20"/>
        </w:rPr>
        <w:t xml:space="preserve">. </w:t>
      </w:r>
      <w:r w:rsidRPr="00D20C09">
        <w:rPr>
          <w:sz w:val="20"/>
          <w:szCs w:val="20"/>
        </w:rPr>
        <w:t xml:space="preserve">Manage all outside vendors, </w:t>
      </w:r>
      <w:r w:rsidR="00370D84" w:rsidRPr="00D20C09">
        <w:rPr>
          <w:sz w:val="20"/>
          <w:szCs w:val="20"/>
        </w:rPr>
        <w:t>agencies,</w:t>
      </w:r>
      <w:r w:rsidRPr="00D20C09">
        <w:rPr>
          <w:sz w:val="20"/>
          <w:szCs w:val="20"/>
        </w:rPr>
        <w:t xml:space="preserve"> and temporary services</w:t>
      </w:r>
      <w:r w:rsidR="00370D84" w:rsidRPr="00D20C09">
        <w:rPr>
          <w:sz w:val="20"/>
          <w:szCs w:val="20"/>
        </w:rPr>
        <w:t xml:space="preserve">. </w:t>
      </w:r>
      <w:r w:rsidRPr="00D20C09">
        <w:rPr>
          <w:sz w:val="20"/>
          <w:szCs w:val="20"/>
        </w:rPr>
        <w:t xml:space="preserve">I work on HR activities with direction from CFO. </w:t>
      </w:r>
    </w:p>
    <w:p w14:paraId="69C315EB" w14:textId="77777777" w:rsidR="00A80CE3" w:rsidRDefault="007005F0">
      <w:pPr>
        <w:spacing w:after="0" w:line="259" w:lineRule="auto"/>
        <w:ind w:left="0" w:firstLine="0"/>
      </w:pPr>
      <w:r>
        <w:t xml:space="preserve"> </w:t>
      </w:r>
    </w:p>
    <w:p w14:paraId="5F8C249D" w14:textId="1E472B46" w:rsidR="00A80CE3" w:rsidRDefault="007005F0" w:rsidP="00E442EB">
      <w:pPr>
        <w:spacing w:after="0" w:line="259" w:lineRule="auto"/>
        <w:ind w:left="0" w:firstLine="0"/>
        <w:rPr>
          <w:b/>
          <w:sz w:val="24"/>
        </w:rPr>
      </w:pPr>
      <w:r>
        <w:rPr>
          <w:b/>
        </w:rPr>
        <w:t xml:space="preserve"> </w:t>
      </w:r>
      <w:r w:rsidR="00E442EB">
        <w:rPr>
          <w:b/>
        </w:rPr>
        <w:tab/>
      </w:r>
      <w:r w:rsidR="00E442EB">
        <w:rPr>
          <w:b/>
        </w:rPr>
        <w:tab/>
      </w:r>
      <w:r w:rsidR="00E442EB">
        <w:rPr>
          <w:b/>
        </w:rPr>
        <w:tab/>
      </w:r>
      <w:r w:rsidR="00E442EB">
        <w:rPr>
          <w:b/>
        </w:rPr>
        <w:tab/>
      </w:r>
      <w:r w:rsidR="00E442EB">
        <w:rPr>
          <w:b/>
        </w:rPr>
        <w:tab/>
      </w:r>
      <w:r w:rsidR="00E442EB">
        <w:rPr>
          <w:b/>
        </w:rPr>
        <w:tab/>
      </w:r>
      <w:r w:rsidR="00E442EB">
        <w:rPr>
          <w:b/>
        </w:rPr>
        <w:tab/>
      </w:r>
      <w:r>
        <w:rPr>
          <w:b/>
          <w:sz w:val="24"/>
          <w:u w:val="single" w:color="000000"/>
        </w:rPr>
        <w:t>EDUCATION</w:t>
      </w:r>
      <w:r>
        <w:rPr>
          <w:b/>
          <w:sz w:val="24"/>
        </w:rPr>
        <w:t xml:space="preserve"> </w:t>
      </w:r>
    </w:p>
    <w:p w14:paraId="5BB40986" w14:textId="6A4449F6" w:rsidR="00B1067D" w:rsidRPr="007005F0" w:rsidRDefault="00B1067D" w:rsidP="00B1067D">
      <w:pPr>
        <w:spacing w:after="0" w:line="259" w:lineRule="auto"/>
        <w:ind w:left="0" w:right="3" w:firstLine="0"/>
        <w:jc w:val="center"/>
        <w:rPr>
          <w:b/>
          <w:szCs w:val="22"/>
          <w:u w:val="single"/>
        </w:rPr>
      </w:pPr>
      <w:r w:rsidRPr="007005F0">
        <w:rPr>
          <w:b/>
          <w:szCs w:val="22"/>
          <w:u w:val="single"/>
        </w:rPr>
        <w:t>HMI – Hearst Management Institute</w:t>
      </w:r>
    </w:p>
    <w:p w14:paraId="33653A1E" w14:textId="4A42BA51" w:rsidR="00B1067D" w:rsidRPr="00D20C09" w:rsidRDefault="007005F0" w:rsidP="00B1067D">
      <w:pPr>
        <w:spacing w:after="0" w:line="259" w:lineRule="auto"/>
        <w:ind w:left="0" w:right="3" w:firstLine="0"/>
        <w:jc w:val="center"/>
        <w:rPr>
          <w:bCs/>
          <w:sz w:val="20"/>
          <w:szCs w:val="20"/>
        </w:rPr>
      </w:pPr>
      <w:r w:rsidRPr="00D20C09">
        <w:rPr>
          <w:bCs/>
          <w:sz w:val="20"/>
          <w:szCs w:val="20"/>
        </w:rPr>
        <w:t xml:space="preserve">Selected to participate in Hearst’s 12-month Sr. Executive Leadership Development program, combining executive workshops, courses, and coaching with </w:t>
      </w:r>
      <w:r w:rsidR="00370D84" w:rsidRPr="00D20C09">
        <w:rPr>
          <w:bCs/>
          <w:sz w:val="20"/>
          <w:szCs w:val="20"/>
        </w:rPr>
        <w:t>firsthand</w:t>
      </w:r>
      <w:r w:rsidRPr="00D20C09">
        <w:rPr>
          <w:bCs/>
          <w:sz w:val="20"/>
          <w:szCs w:val="20"/>
        </w:rPr>
        <w:t xml:space="preserve"> application through strategic business initiatives.</w:t>
      </w:r>
    </w:p>
    <w:p w14:paraId="36585A81" w14:textId="77777777" w:rsidR="00A80CE3" w:rsidRDefault="007005F0">
      <w:pPr>
        <w:spacing w:after="0" w:line="259" w:lineRule="auto"/>
        <w:ind w:left="10" w:right="10" w:hanging="10"/>
        <w:jc w:val="center"/>
      </w:pPr>
      <w:r>
        <w:rPr>
          <w:b/>
          <w:u w:val="single" w:color="000000"/>
        </w:rPr>
        <w:t>Harvard Business Publishing</w:t>
      </w:r>
      <w:r>
        <w:rPr>
          <w:b/>
        </w:rPr>
        <w:t xml:space="preserve"> </w:t>
      </w:r>
    </w:p>
    <w:p w14:paraId="7694D024" w14:textId="77777777" w:rsidR="00A80CE3" w:rsidRPr="00D20C09" w:rsidRDefault="007005F0">
      <w:pPr>
        <w:spacing w:after="0" w:line="259" w:lineRule="auto"/>
        <w:ind w:left="10" w:right="5" w:hanging="10"/>
        <w:jc w:val="center"/>
        <w:rPr>
          <w:bCs/>
          <w:sz w:val="20"/>
          <w:szCs w:val="20"/>
        </w:rPr>
      </w:pPr>
      <w:r w:rsidRPr="00D20C09">
        <w:rPr>
          <w:bCs/>
          <w:sz w:val="20"/>
          <w:szCs w:val="20"/>
        </w:rPr>
        <w:t xml:space="preserve">Leadership &amp; Management Development Certification </w:t>
      </w:r>
    </w:p>
    <w:p w14:paraId="52207471" w14:textId="0466126E" w:rsidR="00A80CE3" w:rsidRDefault="007005F0" w:rsidP="00E442EB">
      <w:pPr>
        <w:spacing w:after="0" w:line="240" w:lineRule="auto"/>
        <w:ind w:left="49" w:firstLine="0"/>
        <w:jc w:val="center"/>
      </w:pPr>
      <w:r>
        <w:rPr>
          <w:b/>
          <w:sz w:val="24"/>
        </w:rPr>
        <w:t xml:space="preserve"> </w:t>
      </w:r>
      <w:r>
        <w:rPr>
          <w:b/>
          <w:u w:val="single" w:color="000000"/>
        </w:rPr>
        <w:t>BENTLEY COLLEGE</w:t>
      </w:r>
      <w:r>
        <w:rPr>
          <w:b/>
        </w:rPr>
        <w:t xml:space="preserve"> </w:t>
      </w:r>
    </w:p>
    <w:p w14:paraId="421FE22D" w14:textId="77777777" w:rsidR="00A80CE3" w:rsidRPr="00D20C09" w:rsidRDefault="007005F0">
      <w:pPr>
        <w:spacing w:after="0" w:line="259" w:lineRule="auto"/>
        <w:ind w:left="10" w:right="8" w:hanging="10"/>
        <w:jc w:val="center"/>
        <w:rPr>
          <w:bCs/>
          <w:sz w:val="20"/>
          <w:szCs w:val="20"/>
        </w:rPr>
      </w:pPr>
      <w:r w:rsidRPr="00D20C09">
        <w:rPr>
          <w:bCs/>
          <w:sz w:val="20"/>
          <w:szCs w:val="20"/>
        </w:rPr>
        <w:t xml:space="preserve">Human Resources Management Certification </w:t>
      </w:r>
    </w:p>
    <w:p w14:paraId="6B90B986" w14:textId="36766CFD" w:rsidR="00A80CE3" w:rsidRDefault="007005F0" w:rsidP="00E442EB">
      <w:pPr>
        <w:spacing w:after="0" w:line="240" w:lineRule="auto"/>
        <w:ind w:left="0" w:firstLine="0"/>
      </w:pPr>
      <w:r w:rsidRPr="00D20C09">
        <w:rPr>
          <w:sz w:val="20"/>
          <w:szCs w:val="20"/>
        </w:rPr>
        <w:t xml:space="preserve"> </w:t>
      </w:r>
      <w:r w:rsidR="00E442EB">
        <w:rPr>
          <w:sz w:val="20"/>
          <w:szCs w:val="20"/>
        </w:rPr>
        <w:tab/>
      </w:r>
      <w:r w:rsidR="00E442EB">
        <w:rPr>
          <w:sz w:val="20"/>
          <w:szCs w:val="20"/>
        </w:rPr>
        <w:tab/>
      </w:r>
      <w:r w:rsidR="00E442EB">
        <w:rPr>
          <w:sz w:val="20"/>
          <w:szCs w:val="20"/>
        </w:rPr>
        <w:tab/>
      </w:r>
      <w:r w:rsidR="00E442EB">
        <w:rPr>
          <w:sz w:val="20"/>
          <w:szCs w:val="20"/>
        </w:rPr>
        <w:tab/>
      </w:r>
      <w:r w:rsidR="00E442EB">
        <w:rPr>
          <w:sz w:val="20"/>
          <w:szCs w:val="20"/>
        </w:rPr>
        <w:tab/>
      </w:r>
      <w:r w:rsidR="00E442EB">
        <w:rPr>
          <w:sz w:val="20"/>
          <w:szCs w:val="20"/>
        </w:rPr>
        <w:tab/>
      </w:r>
      <w:r>
        <w:rPr>
          <w:b/>
          <w:u w:val="single" w:color="000000"/>
        </w:rPr>
        <w:t>SALEM STATE COLLEGE</w:t>
      </w:r>
      <w:r>
        <w:rPr>
          <w:b/>
        </w:rPr>
        <w:t xml:space="preserve"> </w:t>
      </w:r>
    </w:p>
    <w:p w14:paraId="2A2A2F0F" w14:textId="77777777" w:rsidR="00A80CE3" w:rsidRPr="00D20C09" w:rsidRDefault="007005F0">
      <w:pPr>
        <w:spacing w:after="0" w:line="259" w:lineRule="auto"/>
        <w:ind w:left="10" w:right="7" w:hanging="10"/>
        <w:jc w:val="center"/>
        <w:rPr>
          <w:bCs/>
          <w:sz w:val="20"/>
          <w:szCs w:val="20"/>
        </w:rPr>
      </w:pPr>
      <w:r w:rsidRPr="00D20C09">
        <w:rPr>
          <w:bCs/>
          <w:sz w:val="20"/>
          <w:szCs w:val="20"/>
        </w:rPr>
        <w:t xml:space="preserve">BA – English/Communications </w:t>
      </w:r>
    </w:p>
    <w:p w14:paraId="2F5C2326" w14:textId="77777777" w:rsidR="00A80CE3" w:rsidRDefault="007005F0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14:paraId="7CBD3454" w14:textId="77777777" w:rsidR="00A80CE3" w:rsidRPr="007005F0" w:rsidRDefault="007005F0">
      <w:pPr>
        <w:spacing w:after="0" w:line="259" w:lineRule="auto"/>
        <w:ind w:left="0" w:right="7" w:firstLine="0"/>
        <w:jc w:val="center"/>
      </w:pPr>
      <w:r w:rsidRPr="007005F0">
        <w:rPr>
          <w:rFonts w:eastAsia="Arial"/>
          <w:b/>
          <w:sz w:val="24"/>
          <w:u w:val="single" w:color="000000"/>
        </w:rPr>
        <w:t>Computer Skills</w:t>
      </w:r>
      <w:r w:rsidRPr="007005F0">
        <w:rPr>
          <w:rFonts w:eastAsia="Arial"/>
          <w:b/>
          <w:sz w:val="24"/>
        </w:rPr>
        <w:t xml:space="preserve"> </w:t>
      </w:r>
    </w:p>
    <w:p w14:paraId="018D7E52" w14:textId="193DCD8F" w:rsidR="00A80CE3" w:rsidRPr="007005F0" w:rsidRDefault="007005F0">
      <w:pPr>
        <w:spacing w:line="259" w:lineRule="auto"/>
        <w:ind w:left="0" w:right="10" w:firstLine="0"/>
        <w:jc w:val="center"/>
      </w:pPr>
      <w:r w:rsidRPr="007005F0">
        <w:rPr>
          <w:rFonts w:eastAsia="Arial"/>
          <w:sz w:val="20"/>
        </w:rPr>
        <w:t xml:space="preserve">Ultimate Software (UKG Pro), ADP, Kronos, HR Pro, </w:t>
      </w:r>
      <w:r w:rsidR="00370D84">
        <w:rPr>
          <w:rFonts w:eastAsia="Arial"/>
          <w:sz w:val="20"/>
        </w:rPr>
        <w:t>Pay Factors</w:t>
      </w:r>
      <w:r w:rsidR="007C4C0A">
        <w:rPr>
          <w:rFonts w:eastAsia="Arial"/>
          <w:sz w:val="20"/>
        </w:rPr>
        <w:t xml:space="preserve">, ERI, </w:t>
      </w:r>
      <w:r w:rsidRPr="007005F0">
        <w:rPr>
          <w:rFonts w:eastAsia="Arial"/>
          <w:sz w:val="20"/>
        </w:rPr>
        <w:t xml:space="preserve">MS Office </w:t>
      </w:r>
    </w:p>
    <w:p w14:paraId="2C33B062" w14:textId="77777777" w:rsidR="00A80CE3" w:rsidRDefault="007005F0">
      <w:pPr>
        <w:spacing w:after="0" w:line="259" w:lineRule="auto"/>
        <w:ind w:left="45" w:firstLine="0"/>
        <w:jc w:val="center"/>
      </w:pPr>
      <w:r>
        <w:rPr>
          <w:b/>
        </w:rPr>
        <w:t xml:space="preserve"> </w:t>
      </w:r>
    </w:p>
    <w:p w14:paraId="560279F7" w14:textId="77777777" w:rsidR="00A80CE3" w:rsidRDefault="007005F0">
      <w:pPr>
        <w:spacing w:after="0" w:line="259" w:lineRule="auto"/>
        <w:ind w:left="5401" w:firstLine="0"/>
        <w:jc w:val="both"/>
      </w:pPr>
      <w:r>
        <w:rPr>
          <w:b/>
        </w:rPr>
        <w:t xml:space="preserve"> </w:t>
      </w:r>
    </w:p>
    <w:sectPr w:rsidR="00A80CE3" w:rsidSect="00CC4839">
      <w:pgSz w:w="12240" w:h="15840"/>
      <w:pgMar w:top="720" w:right="720" w:bottom="432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D48A7"/>
    <w:multiLevelType w:val="hybridMultilevel"/>
    <w:tmpl w:val="C7AA730C"/>
    <w:lvl w:ilvl="0" w:tplc="29C6EC2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9CE514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2B414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695E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FA91A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36BA6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FF07BB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8CDEE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8E523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1C9063A"/>
    <w:multiLevelType w:val="hybridMultilevel"/>
    <w:tmpl w:val="FA58C6CA"/>
    <w:lvl w:ilvl="0" w:tplc="A39E4D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8296BC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C4461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3EF30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9C4E9F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F1861B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30BCB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54F1DE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2E484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5A36A4"/>
    <w:multiLevelType w:val="hybridMultilevel"/>
    <w:tmpl w:val="0E5C424E"/>
    <w:lvl w:ilvl="0" w:tplc="A39E4D2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909CB"/>
    <w:multiLevelType w:val="hybridMultilevel"/>
    <w:tmpl w:val="A7A05264"/>
    <w:lvl w:ilvl="0" w:tplc="57B4F6D4">
      <w:start w:val="1"/>
      <w:numFmt w:val="bullet"/>
      <w:lvlText w:val="❖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0F4B810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8C14E2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041FE8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AA65C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8BEB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F8912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C7A6C0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A4C94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81963916">
    <w:abstractNumId w:val="1"/>
  </w:num>
  <w:num w:numId="2" w16cid:durableId="823083756">
    <w:abstractNumId w:val="0"/>
  </w:num>
  <w:num w:numId="3" w16cid:durableId="1846625869">
    <w:abstractNumId w:val="3"/>
  </w:num>
  <w:num w:numId="4" w16cid:durableId="11153675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CE3"/>
    <w:rsid w:val="000537BA"/>
    <w:rsid w:val="00167477"/>
    <w:rsid w:val="00370D84"/>
    <w:rsid w:val="004643B2"/>
    <w:rsid w:val="00526DDC"/>
    <w:rsid w:val="007005F0"/>
    <w:rsid w:val="00764148"/>
    <w:rsid w:val="00785AED"/>
    <w:rsid w:val="007C4C0A"/>
    <w:rsid w:val="008E48BF"/>
    <w:rsid w:val="00915759"/>
    <w:rsid w:val="009F70C5"/>
    <w:rsid w:val="00A43A3B"/>
    <w:rsid w:val="00A5308A"/>
    <w:rsid w:val="00A80CE3"/>
    <w:rsid w:val="00AC53B3"/>
    <w:rsid w:val="00B1067D"/>
    <w:rsid w:val="00C35075"/>
    <w:rsid w:val="00C855DC"/>
    <w:rsid w:val="00CC4839"/>
    <w:rsid w:val="00CD3174"/>
    <w:rsid w:val="00D20C09"/>
    <w:rsid w:val="00E442EB"/>
    <w:rsid w:val="00E6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11A9A"/>
  <w15:docId w15:val="{D704A24B-DD4C-484B-A982-D7D59D6A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370" w:hanging="37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49" w:lineRule="auto"/>
      <w:ind w:left="10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paragraph" w:styleId="BodyText">
    <w:name w:val="Body Text"/>
    <w:basedOn w:val="Normal"/>
    <w:link w:val="BodyTextChar"/>
    <w:uiPriority w:val="1"/>
    <w:qFormat/>
    <w:rsid w:val="007C4C0A"/>
    <w:pPr>
      <w:widowControl w:val="0"/>
      <w:autoSpaceDE w:val="0"/>
      <w:autoSpaceDN w:val="0"/>
      <w:spacing w:before="62" w:after="0" w:line="240" w:lineRule="auto"/>
      <w:ind w:left="1059" w:firstLine="0"/>
    </w:pPr>
    <w:rPr>
      <w:rFonts w:ascii="Arial MT" w:eastAsia="Arial MT" w:hAnsi="Arial MT" w:cs="Arial MT"/>
      <w:color w:val="auto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C4C0A"/>
    <w:rPr>
      <w:rFonts w:ascii="Arial MT" w:eastAsia="Arial MT" w:hAnsi="Arial MT" w:cs="Arial MT"/>
      <w:kern w:val="0"/>
      <w:sz w:val="20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7C4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1026</Words>
  <Characters>6937</Characters>
  <Application>Microsoft Office Word</Application>
  <DocSecurity>0</DocSecurity>
  <Lines>106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Aimee Fahey</dc:creator>
  <cp:keywords/>
  <cp:lastModifiedBy>Aimee Fahey</cp:lastModifiedBy>
  <cp:revision>2</cp:revision>
  <cp:lastPrinted>2026-01-05T13:41:00Z</cp:lastPrinted>
  <dcterms:created xsi:type="dcterms:W3CDTF">2026-01-12T17:13:00Z</dcterms:created>
  <dcterms:modified xsi:type="dcterms:W3CDTF">2026-01-12T17:13:00Z</dcterms:modified>
</cp:coreProperties>
</file>